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200C5" w14:textId="77777777" w:rsidR="0067498D" w:rsidRPr="0067498D" w:rsidRDefault="00C63949" w:rsidP="0067498D">
      <w:pPr>
        <w:jc w:val="center"/>
        <w:rPr>
          <w:b/>
          <w:bCs/>
          <w:u w:val="single"/>
        </w:rPr>
      </w:pPr>
      <w:r w:rsidRPr="0067498D">
        <w:rPr>
          <w:b/>
          <w:bCs/>
          <w:u w:val="single"/>
        </w:rPr>
        <w:t xml:space="preserve">CADRE DE REPONSE : </w:t>
      </w:r>
    </w:p>
    <w:p w14:paraId="40711C11" w14:textId="37CE6EEB" w:rsidR="0067498D" w:rsidRPr="00B727BB" w:rsidRDefault="0067498D" w:rsidP="0067498D">
      <w:pPr>
        <w:jc w:val="center"/>
        <w:rPr>
          <w:rFonts w:ascii="Univers Next Pro Light Cond" w:hAnsi="Univers Next Pro Light Cond" w:cs="Arial"/>
          <w:b/>
          <w:u w:val="single"/>
        </w:rPr>
      </w:pPr>
      <w:r w:rsidRPr="00B727BB">
        <w:rPr>
          <w:rFonts w:ascii="Univers Next Pro Light Cond" w:hAnsi="Univers Next Pro Light Cond" w:cs="Arial"/>
          <w:b/>
          <w:u w:val="single"/>
        </w:rPr>
        <w:t>Tierce maintenance applicative évolutive de l’interface graphique du site du catalogue public de la Bibliothèque publique d’information (</w:t>
      </w:r>
      <w:proofErr w:type="spellStart"/>
      <w:r w:rsidRPr="00B727BB">
        <w:rPr>
          <w:rFonts w:ascii="Univers Next Pro Light Cond" w:hAnsi="Univers Next Pro Light Cond" w:cs="Arial"/>
          <w:b/>
          <w:u w:val="single"/>
        </w:rPr>
        <w:t>Bpi</w:t>
      </w:r>
      <w:proofErr w:type="spellEnd"/>
      <w:r w:rsidRPr="00B727BB">
        <w:rPr>
          <w:rFonts w:ascii="Univers Next Pro Light Cond" w:hAnsi="Univers Next Pro Light Cond" w:cs="Arial"/>
          <w:b/>
          <w:u w:val="single"/>
        </w:rPr>
        <w:t>)</w:t>
      </w:r>
    </w:p>
    <w:p w14:paraId="269BE77D" w14:textId="460C7D1A" w:rsidR="00C63949" w:rsidRDefault="00C63949"/>
    <w:p w14:paraId="68282E5A" w14:textId="68871FB7" w:rsidR="00C63949" w:rsidRDefault="00C63949"/>
    <w:tbl>
      <w:tblPr>
        <w:tblW w:w="1445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515"/>
        <w:gridCol w:w="5475"/>
        <w:gridCol w:w="4484"/>
        <w:gridCol w:w="2977"/>
      </w:tblGrid>
      <w:tr w:rsidR="00C63949" w14:paraId="03F813F7" w14:textId="544B9820" w:rsidTr="00C63949">
        <w:trPr>
          <w:trHeight w:val="555"/>
        </w:trPr>
        <w:tc>
          <w:tcPr>
            <w:tcW w:w="1515" w:type="dxa"/>
            <w:tcBorders>
              <w:top w:val="single" w:sz="6" w:space="0" w:color="000000"/>
              <w:left w:val="single" w:sz="6" w:space="0" w:color="000000"/>
              <w:bottom w:val="single" w:sz="6" w:space="0" w:color="000000"/>
              <w:right w:val="single" w:sz="6" w:space="0" w:color="000000"/>
            </w:tcBorders>
            <w:shd w:val="clear" w:color="auto" w:fill="D9D9D9"/>
            <w:tcMar>
              <w:top w:w="80" w:type="dxa"/>
              <w:left w:w="80" w:type="dxa"/>
              <w:bottom w:w="80" w:type="dxa"/>
              <w:right w:w="80" w:type="dxa"/>
            </w:tcMar>
          </w:tcPr>
          <w:p w14:paraId="69BF6D73" w14:textId="7E9E14A5" w:rsidR="00C63949" w:rsidRDefault="00C63949" w:rsidP="00C63949">
            <w:pPr>
              <w:spacing w:before="240" w:after="240"/>
              <w:ind w:left="240"/>
              <w:jc w:val="center"/>
              <w:rPr>
                <w:b/>
                <w:bCs/>
              </w:rPr>
            </w:pPr>
            <w:r>
              <w:rPr>
                <w:b/>
                <w:bCs/>
              </w:rPr>
              <w:t>Complexité</w:t>
            </w:r>
          </w:p>
        </w:tc>
        <w:tc>
          <w:tcPr>
            <w:tcW w:w="5475" w:type="dxa"/>
            <w:tcBorders>
              <w:top w:val="single" w:sz="6" w:space="0" w:color="000000"/>
              <w:left w:val="nil"/>
              <w:bottom w:val="single" w:sz="6" w:space="0" w:color="000000"/>
              <w:right w:val="single" w:sz="6" w:space="0" w:color="000000"/>
            </w:tcBorders>
            <w:shd w:val="clear" w:color="auto" w:fill="D9D9D9"/>
            <w:tcMar>
              <w:top w:w="80" w:type="dxa"/>
              <w:left w:w="80" w:type="dxa"/>
              <w:bottom w:w="80" w:type="dxa"/>
              <w:right w:w="80" w:type="dxa"/>
            </w:tcMar>
          </w:tcPr>
          <w:p w14:paraId="6FD6B62E" w14:textId="77777777" w:rsidR="00C63949" w:rsidRDefault="00C63949" w:rsidP="005D67FC">
            <w:pPr>
              <w:spacing w:before="240" w:after="240"/>
              <w:ind w:left="240"/>
              <w:jc w:val="center"/>
              <w:rPr>
                <w:b/>
                <w:bCs/>
              </w:rPr>
            </w:pPr>
            <w:r>
              <w:rPr>
                <w:b/>
                <w:bCs/>
              </w:rPr>
              <w:t>Exemple d’évolution</w:t>
            </w:r>
          </w:p>
        </w:tc>
        <w:tc>
          <w:tcPr>
            <w:tcW w:w="4484" w:type="dxa"/>
            <w:tcBorders>
              <w:top w:val="single" w:sz="6" w:space="0" w:color="000000"/>
              <w:left w:val="nil"/>
              <w:bottom w:val="single" w:sz="6" w:space="0" w:color="000000"/>
              <w:right w:val="single" w:sz="6" w:space="0" w:color="000000"/>
            </w:tcBorders>
            <w:shd w:val="clear" w:color="auto" w:fill="D9D9D9"/>
            <w:tcMar>
              <w:top w:w="80" w:type="dxa"/>
              <w:left w:w="80" w:type="dxa"/>
              <w:bottom w:w="80" w:type="dxa"/>
              <w:right w:w="80" w:type="dxa"/>
            </w:tcMar>
          </w:tcPr>
          <w:p w14:paraId="1B180803" w14:textId="603A11B7" w:rsidR="00C63949" w:rsidRDefault="00C63949" w:rsidP="005D67FC">
            <w:pPr>
              <w:spacing w:before="240" w:after="240"/>
              <w:ind w:left="240"/>
              <w:jc w:val="center"/>
              <w:rPr>
                <w:b/>
                <w:bCs/>
              </w:rPr>
            </w:pPr>
            <w:r>
              <w:rPr>
                <w:b/>
                <w:bCs/>
              </w:rPr>
              <w:t>Descriptif de la méthodologie proposée par le candidat</w:t>
            </w:r>
          </w:p>
        </w:tc>
        <w:tc>
          <w:tcPr>
            <w:tcW w:w="2977" w:type="dxa"/>
            <w:tcBorders>
              <w:top w:val="single" w:sz="6" w:space="0" w:color="000000"/>
              <w:left w:val="nil"/>
              <w:bottom w:val="single" w:sz="6" w:space="0" w:color="000000"/>
              <w:right w:val="single" w:sz="6" w:space="0" w:color="000000"/>
            </w:tcBorders>
            <w:shd w:val="clear" w:color="auto" w:fill="D9D9D9"/>
          </w:tcPr>
          <w:p w14:paraId="7317E1BB" w14:textId="1113792C" w:rsidR="00C63949" w:rsidRDefault="00C63949" w:rsidP="005D67FC">
            <w:pPr>
              <w:spacing w:before="240" w:after="240"/>
              <w:ind w:left="240"/>
              <w:jc w:val="center"/>
              <w:rPr>
                <w:b/>
                <w:bCs/>
              </w:rPr>
            </w:pPr>
            <w:r>
              <w:rPr>
                <w:b/>
                <w:bCs/>
              </w:rPr>
              <w:t>Chiffrage en € HT proposé par le candidat</w:t>
            </w:r>
          </w:p>
        </w:tc>
      </w:tr>
      <w:tr w:rsidR="00C63949" w14:paraId="56102F65" w14:textId="763BC887" w:rsidTr="00C63949">
        <w:trPr>
          <w:trHeight w:val="2551"/>
        </w:trPr>
        <w:tc>
          <w:tcPr>
            <w:tcW w:w="1515" w:type="dxa"/>
            <w:tcBorders>
              <w:top w:val="nil"/>
              <w:left w:val="single" w:sz="6" w:space="0" w:color="000000"/>
              <w:bottom w:val="single" w:sz="6" w:space="0" w:color="000000"/>
              <w:right w:val="single" w:sz="6" w:space="0" w:color="000000"/>
            </w:tcBorders>
            <w:shd w:val="clear" w:color="auto" w:fill="D9D9D9"/>
            <w:tcMar>
              <w:top w:w="80" w:type="dxa"/>
              <w:left w:w="80" w:type="dxa"/>
              <w:bottom w:w="80" w:type="dxa"/>
              <w:right w:w="80" w:type="dxa"/>
            </w:tcMar>
          </w:tcPr>
          <w:p w14:paraId="5F229909" w14:textId="77777777" w:rsidR="00C63949" w:rsidRDefault="00C63949" w:rsidP="00C63949">
            <w:pPr>
              <w:spacing w:before="240" w:after="240"/>
              <w:ind w:left="240"/>
              <w:jc w:val="center"/>
            </w:pPr>
            <w:r>
              <w:t>A) Simple</w:t>
            </w:r>
          </w:p>
        </w:tc>
        <w:tc>
          <w:tcPr>
            <w:tcW w:w="5475" w:type="dxa"/>
            <w:tcBorders>
              <w:top w:val="nil"/>
              <w:left w:val="nil"/>
              <w:bottom w:val="single" w:sz="6" w:space="0" w:color="000000"/>
              <w:right w:val="single" w:sz="6" w:space="0" w:color="000000"/>
            </w:tcBorders>
            <w:tcMar>
              <w:top w:w="80" w:type="dxa"/>
              <w:left w:w="80" w:type="dxa"/>
              <w:bottom w:w="80" w:type="dxa"/>
              <w:right w:w="80" w:type="dxa"/>
            </w:tcMar>
          </w:tcPr>
          <w:p w14:paraId="4D55D1D9" w14:textId="77777777" w:rsidR="00C63949" w:rsidRDefault="00C63949" w:rsidP="005D67FC">
            <w:pPr>
              <w:spacing w:before="240" w:after="240"/>
            </w:pPr>
            <w:r>
              <w:t xml:space="preserve">EVO_3_A Services “Exporter/Télécharger” et “Envoyer” : revoir l’export ou le mail d’envoi de références bibliographiques. </w:t>
            </w:r>
          </w:p>
          <w:p w14:paraId="70605B07" w14:textId="01074427" w:rsidR="00C63949" w:rsidRDefault="00C63949" w:rsidP="005D67FC">
            <w:pPr>
              <w:spacing w:before="240" w:after="240"/>
            </w:pPr>
            <w:r>
              <w:t xml:space="preserve">Ces deux services offrent la possibilité de sélectionner des notices soit abrégées ou </w:t>
            </w:r>
            <w:r w:rsidR="008F7776">
              <w:t>détaillées, avec</w:t>
            </w:r>
            <w:r>
              <w:t xml:space="preserve"> une option d’ajouter l’image de couverture (webservice Electre ou image créée par la </w:t>
            </w:r>
            <w:proofErr w:type="spellStart"/>
            <w:r>
              <w:t>Bpi</w:t>
            </w:r>
            <w:proofErr w:type="spellEnd"/>
            <w:r>
              <w:t xml:space="preserve"> par défaut). </w:t>
            </w:r>
          </w:p>
          <w:p w14:paraId="3B911CA5" w14:textId="77777777" w:rsidR="00C63949" w:rsidRDefault="00C63949" w:rsidP="005D67FC">
            <w:pPr>
              <w:spacing w:before="240" w:after="240"/>
            </w:pPr>
            <w:r>
              <w:t xml:space="preserve">Pour l’export uniquement, deux formats sont proposés : texte ou </w:t>
            </w:r>
            <w:proofErr w:type="spellStart"/>
            <w:r>
              <w:t>pdf</w:t>
            </w:r>
            <w:proofErr w:type="spellEnd"/>
          </w:p>
        </w:tc>
        <w:tc>
          <w:tcPr>
            <w:tcW w:w="4484" w:type="dxa"/>
            <w:tcBorders>
              <w:top w:val="nil"/>
              <w:left w:val="nil"/>
              <w:bottom w:val="single" w:sz="6" w:space="0" w:color="000000"/>
              <w:right w:val="single" w:sz="6" w:space="0" w:color="000000"/>
            </w:tcBorders>
            <w:tcMar>
              <w:top w:w="80" w:type="dxa"/>
              <w:left w:w="80" w:type="dxa"/>
              <w:bottom w:w="80" w:type="dxa"/>
              <w:right w:w="80" w:type="dxa"/>
            </w:tcMar>
          </w:tcPr>
          <w:p w14:paraId="4904BE95" w14:textId="77777777" w:rsidR="00C63949" w:rsidRDefault="00C63949" w:rsidP="005D67FC">
            <w:pPr>
              <w:spacing w:before="240" w:after="240"/>
              <w:ind w:left="240"/>
            </w:pPr>
          </w:p>
        </w:tc>
        <w:tc>
          <w:tcPr>
            <w:tcW w:w="2977" w:type="dxa"/>
            <w:tcBorders>
              <w:top w:val="nil"/>
              <w:left w:val="nil"/>
              <w:bottom w:val="single" w:sz="6" w:space="0" w:color="000000"/>
              <w:right w:val="single" w:sz="6" w:space="0" w:color="000000"/>
            </w:tcBorders>
          </w:tcPr>
          <w:p w14:paraId="6E88DE26" w14:textId="77777777" w:rsidR="00C63949" w:rsidRDefault="00C63949" w:rsidP="005D67FC">
            <w:pPr>
              <w:spacing w:before="240" w:after="240"/>
              <w:ind w:left="240"/>
            </w:pPr>
          </w:p>
        </w:tc>
      </w:tr>
      <w:tr w:rsidR="00C63949" w14:paraId="0987D20C" w14:textId="13BF426E" w:rsidTr="008F7776">
        <w:trPr>
          <w:trHeight w:val="751"/>
        </w:trPr>
        <w:tc>
          <w:tcPr>
            <w:tcW w:w="1515" w:type="dxa"/>
            <w:tcBorders>
              <w:top w:val="nil"/>
              <w:left w:val="single" w:sz="6" w:space="0" w:color="000000"/>
              <w:bottom w:val="single" w:sz="6" w:space="0" w:color="000000"/>
              <w:right w:val="single" w:sz="6" w:space="0" w:color="000000"/>
            </w:tcBorders>
            <w:shd w:val="clear" w:color="auto" w:fill="D9D9D9"/>
            <w:tcMar>
              <w:top w:w="80" w:type="dxa"/>
              <w:left w:w="80" w:type="dxa"/>
              <w:bottom w:w="80" w:type="dxa"/>
              <w:right w:w="80" w:type="dxa"/>
            </w:tcMar>
          </w:tcPr>
          <w:p w14:paraId="45F72AA8" w14:textId="77777777" w:rsidR="00C63949" w:rsidRDefault="00C63949" w:rsidP="00C63949">
            <w:pPr>
              <w:spacing w:before="240" w:after="240"/>
              <w:ind w:left="240"/>
              <w:jc w:val="center"/>
            </w:pPr>
            <w:r>
              <w:t>B) Moyenne</w:t>
            </w:r>
          </w:p>
        </w:tc>
        <w:tc>
          <w:tcPr>
            <w:tcW w:w="5475" w:type="dxa"/>
            <w:tcBorders>
              <w:top w:val="nil"/>
              <w:left w:val="nil"/>
              <w:bottom w:val="single" w:sz="6" w:space="0" w:color="000000"/>
              <w:right w:val="single" w:sz="6" w:space="0" w:color="000000"/>
            </w:tcBorders>
            <w:tcMar>
              <w:top w:w="80" w:type="dxa"/>
              <w:left w:w="80" w:type="dxa"/>
              <w:bottom w:w="80" w:type="dxa"/>
              <w:right w:w="80" w:type="dxa"/>
            </w:tcMar>
          </w:tcPr>
          <w:p w14:paraId="362C3743" w14:textId="77777777" w:rsidR="00C63949" w:rsidRDefault="00C63949" w:rsidP="005D67FC">
            <w:pPr>
              <w:spacing w:before="240" w:after="240"/>
            </w:pPr>
            <w:r>
              <w:t>EVO_3_B</w:t>
            </w:r>
          </w:p>
          <w:p w14:paraId="5950E313" w14:textId="77777777" w:rsidR="00C63949" w:rsidRDefault="00C63949" w:rsidP="005D67FC">
            <w:pPr>
              <w:spacing w:before="240" w:after="240"/>
            </w:pPr>
            <w:r>
              <w:t xml:space="preserve">Barre des services statique à droite de l’écran : modification du visuel ou repenser les services dans le catalogue public. Visuellement, la barre des services est mal comprise par les usagers.  Quand le service est inactif, le bouton est grisé, il devient noir dès que celui-ci est actif. </w:t>
            </w:r>
          </w:p>
          <w:p w14:paraId="0F2432A9" w14:textId="77777777" w:rsidR="00C63949" w:rsidRDefault="00C63949" w:rsidP="005D67FC">
            <w:pPr>
              <w:spacing w:before="240" w:after="240"/>
            </w:pPr>
            <w:r>
              <w:lastRenderedPageBreak/>
              <w:t xml:space="preserve">Liste des services : Aide, Ma sélection, Exporter/imprimer, Envoyer, Suggestion d’achat, Signaler une erreur et </w:t>
            </w:r>
            <w:proofErr w:type="spellStart"/>
            <w:r>
              <w:t>Eurêkoi</w:t>
            </w:r>
            <w:proofErr w:type="spellEnd"/>
            <w:r>
              <w:t>.</w:t>
            </w:r>
          </w:p>
        </w:tc>
        <w:tc>
          <w:tcPr>
            <w:tcW w:w="4484" w:type="dxa"/>
            <w:tcBorders>
              <w:top w:val="nil"/>
              <w:left w:val="nil"/>
              <w:bottom w:val="single" w:sz="6" w:space="0" w:color="000000"/>
              <w:right w:val="single" w:sz="6" w:space="0" w:color="000000"/>
            </w:tcBorders>
            <w:tcMar>
              <w:top w:w="80" w:type="dxa"/>
              <w:left w:w="80" w:type="dxa"/>
              <w:bottom w:w="80" w:type="dxa"/>
              <w:right w:w="80" w:type="dxa"/>
            </w:tcMar>
          </w:tcPr>
          <w:p w14:paraId="7AB8404D" w14:textId="77777777" w:rsidR="00C63949" w:rsidRDefault="00C63949" w:rsidP="005D67FC">
            <w:pPr>
              <w:spacing w:before="240" w:after="240"/>
              <w:ind w:left="240"/>
            </w:pPr>
          </w:p>
        </w:tc>
        <w:tc>
          <w:tcPr>
            <w:tcW w:w="2977" w:type="dxa"/>
            <w:tcBorders>
              <w:top w:val="nil"/>
              <w:left w:val="nil"/>
              <w:bottom w:val="single" w:sz="6" w:space="0" w:color="000000"/>
              <w:right w:val="single" w:sz="6" w:space="0" w:color="000000"/>
            </w:tcBorders>
          </w:tcPr>
          <w:p w14:paraId="2B643BB9" w14:textId="77777777" w:rsidR="00C63949" w:rsidRDefault="00C63949" w:rsidP="005D67FC">
            <w:pPr>
              <w:spacing w:before="240" w:after="240"/>
              <w:ind w:left="240"/>
            </w:pPr>
          </w:p>
        </w:tc>
      </w:tr>
      <w:tr w:rsidR="00C63949" w14:paraId="4F3E26DC" w14:textId="3F53DFCE" w:rsidTr="00C63949">
        <w:trPr>
          <w:trHeight w:val="2551"/>
        </w:trPr>
        <w:tc>
          <w:tcPr>
            <w:tcW w:w="1515" w:type="dxa"/>
            <w:tcBorders>
              <w:top w:val="nil"/>
              <w:left w:val="single" w:sz="6" w:space="0" w:color="000000"/>
              <w:bottom w:val="single" w:sz="6" w:space="0" w:color="000000"/>
              <w:right w:val="single" w:sz="6" w:space="0" w:color="000000"/>
            </w:tcBorders>
            <w:shd w:val="clear" w:color="auto" w:fill="D9D9D9"/>
            <w:tcMar>
              <w:top w:w="80" w:type="dxa"/>
              <w:left w:w="80" w:type="dxa"/>
              <w:bottom w:w="80" w:type="dxa"/>
              <w:right w:w="80" w:type="dxa"/>
            </w:tcMar>
          </w:tcPr>
          <w:p w14:paraId="3A91C471" w14:textId="77777777" w:rsidR="00C63949" w:rsidRDefault="00C63949" w:rsidP="00C63949">
            <w:pPr>
              <w:spacing w:before="240" w:after="240"/>
              <w:ind w:left="240"/>
              <w:jc w:val="center"/>
            </w:pPr>
            <w:r>
              <w:t>C) Complexe</w:t>
            </w:r>
          </w:p>
        </w:tc>
        <w:tc>
          <w:tcPr>
            <w:tcW w:w="5475" w:type="dxa"/>
            <w:tcBorders>
              <w:top w:val="nil"/>
              <w:left w:val="nil"/>
              <w:bottom w:val="single" w:sz="6" w:space="0" w:color="000000"/>
              <w:right w:val="single" w:sz="6" w:space="0" w:color="000000"/>
            </w:tcBorders>
            <w:tcMar>
              <w:top w:w="80" w:type="dxa"/>
              <w:left w:w="80" w:type="dxa"/>
              <w:bottom w:w="80" w:type="dxa"/>
              <w:right w:w="80" w:type="dxa"/>
            </w:tcMar>
          </w:tcPr>
          <w:p w14:paraId="0529F1BB" w14:textId="77777777" w:rsidR="00C63949" w:rsidRDefault="00C63949" w:rsidP="005D67FC">
            <w:pPr>
              <w:spacing w:before="240" w:after="240"/>
              <w:jc w:val="left"/>
            </w:pPr>
            <w:r>
              <w:t>EVO_3_C : Repenser Les carrousels “sur le même thème”, “est sujet de”, “est auteur de”.</w:t>
            </w:r>
          </w:p>
          <w:p w14:paraId="352B3BC5" w14:textId="77777777" w:rsidR="00C63949" w:rsidRDefault="00C63949" w:rsidP="005D67FC">
            <w:pPr>
              <w:spacing w:before="240" w:after="240"/>
              <w:jc w:val="left"/>
            </w:pPr>
            <w:r>
              <w:t xml:space="preserve">Dans une notice bibliographique, des recommandations “Sur le même thème” sont proposées en bas de page, dans un carrousel, comme par exemple cette notice détaillée </w:t>
            </w:r>
            <w:hyperlink r:id="rId4">
              <w:r>
                <w:rPr>
                  <w:color w:val="1155CC"/>
                  <w:u w:val="single"/>
                </w:rPr>
                <w:t>https://catalogue.bpi.fr/fr/document/ark:/34201/nptfl0001918651?</w:t>
              </w:r>
            </w:hyperlink>
          </w:p>
          <w:p w14:paraId="56A0CE2E" w14:textId="77777777" w:rsidR="00C63949" w:rsidRDefault="00C63949" w:rsidP="005D67FC">
            <w:pPr>
              <w:spacing w:before="240" w:after="240"/>
              <w:jc w:val="left"/>
            </w:pPr>
            <w:r>
              <w:t>Pour les notices d’autorité auteur ou sujet, un carrousel “Est Auteur de</w:t>
            </w:r>
            <w:proofErr w:type="gramStart"/>
            <w:r>
              <w:t>”  ou</w:t>
            </w:r>
            <w:proofErr w:type="gramEnd"/>
            <w:r>
              <w:t xml:space="preserve"> “Est sujet de” est proposé aux utilisateurs, comme par exemple l’auteur Victor Hugo : </w:t>
            </w:r>
            <w:hyperlink r:id="rId5">
              <w:r>
                <w:rPr>
                  <w:color w:val="1155CC"/>
                  <w:u w:val="single"/>
                </w:rPr>
                <w:t>https://catalogue.bpi.fr/fr/autorite/ark:/34201/aptfl0000098527?</w:t>
              </w:r>
            </w:hyperlink>
          </w:p>
        </w:tc>
        <w:tc>
          <w:tcPr>
            <w:tcW w:w="4484" w:type="dxa"/>
            <w:tcBorders>
              <w:top w:val="nil"/>
              <w:left w:val="nil"/>
              <w:bottom w:val="single" w:sz="6" w:space="0" w:color="000000"/>
              <w:right w:val="single" w:sz="6" w:space="0" w:color="000000"/>
            </w:tcBorders>
            <w:tcMar>
              <w:top w:w="80" w:type="dxa"/>
              <w:left w:w="80" w:type="dxa"/>
              <w:bottom w:w="80" w:type="dxa"/>
              <w:right w:w="80" w:type="dxa"/>
            </w:tcMar>
          </w:tcPr>
          <w:p w14:paraId="72129DD7" w14:textId="77777777" w:rsidR="00C63949" w:rsidRDefault="00C63949" w:rsidP="005D67FC">
            <w:pPr>
              <w:spacing w:before="240" w:after="240"/>
              <w:ind w:left="240"/>
            </w:pPr>
          </w:p>
        </w:tc>
        <w:tc>
          <w:tcPr>
            <w:tcW w:w="2977" w:type="dxa"/>
            <w:tcBorders>
              <w:top w:val="nil"/>
              <w:left w:val="nil"/>
              <w:bottom w:val="single" w:sz="6" w:space="0" w:color="000000"/>
              <w:right w:val="single" w:sz="6" w:space="0" w:color="000000"/>
            </w:tcBorders>
          </w:tcPr>
          <w:p w14:paraId="0FBDB323" w14:textId="77777777" w:rsidR="00C63949" w:rsidRDefault="00C63949" w:rsidP="005D67FC">
            <w:pPr>
              <w:spacing w:before="240" w:after="240"/>
              <w:ind w:left="240"/>
            </w:pPr>
          </w:p>
        </w:tc>
      </w:tr>
    </w:tbl>
    <w:p w14:paraId="22D89456" w14:textId="77777777" w:rsidR="00C63949" w:rsidRDefault="00C63949"/>
    <w:sectPr w:rsidR="00C63949" w:rsidSect="00C63949">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Univers Next Pro Light Cond">
    <w:panose1 w:val="020B0406030202020203"/>
    <w:charset w:val="00"/>
    <w:family w:val="swiss"/>
    <w:pitch w:val="variable"/>
    <w:sig w:usb0="A000002F" w:usb1="5000205B" w:usb2="00000000" w:usb3="00000000" w:csb0="000000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949"/>
    <w:rsid w:val="001B2535"/>
    <w:rsid w:val="0037481A"/>
    <w:rsid w:val="0067498D"/>
    <w:rsid w:val="008F7776"/>
    <w:rsid w:val="00C639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F0E02"/>
  <w15:chartTrackingRefBased/>
  <w15:docId w15:val="{A7727BC8-737F-401B-96FF-05034C81C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3949"/>
    <w:pPr>
      <w:spacing w:after="0" w:line="240" w:lineRule="auto"/>
      <w:jc w:val="both"/>
    </w:pPr>
    <w:rPr>
      <w:rFonts w:ascii="Calibri" w:eastAsia="Calibri" w:hAnsi="Calibri" w:cs="Calibri"/>
      <w:lang w:val="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catalogue.bpi.fr/fr/autorite/ark:/34201/aptfl0000098527?" TargetMode="External"/><Relationship Id="rId4" Type="http://schemas.openxmlformats.org/officeDocument/2006/relationships/hyperlink" Target="https://catalogue.bpi.fr/fr/document/ark:/34201/nptfl000191865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287</Words>
  <Characters>1580</Characters>
  <Application>Microsoft Office Word</Application>
  <DocSecurity>0</DocSecurity>
  <Lines>13</Lines>
  <Paragraphs>3</Paragraphs>
  <ScaleCrop>false</ScaleCrop>
  <Company>bpi</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Aude ERENBERK</dc:creator>
  <cp:keywords/>
  <dc:description/>
  <cp:lastModifiedBy>Aude ERENBERK</cp:lastModifiedBy>
  <cp:revision>5</cp:revision>
  <dcterms:created xsi:type="dcterms:W3CDTF">2025-12-26T09:03:00Z</dcterms:created>
  <dcterms:modified xsi:type="dcterms:W3CDTF">2025-12-26T09:08:00Z</dcterms:modified>
</cp:coreProperties>
</file>